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B8" w:rsidRPr="006559CE" w:rsidRDefault="00F92CB8" w:rsidP="000B3BF7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proofErr w:type="gramStart"/>
      <w:r w:rsidRPr="006559C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r w:rsidRPr="006559C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559CE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6559CE">
        <w:rPr>
          <w:rFonts w:ascii="Times New Roman" w:hAnsi="Times New Roman" w:cs="Times New Roman"/>
          <w:b/>
          <w:sz w:val="28"/>
          <w:szCs w:val="28"/>
        </w:rPr>
        <w:t xml:space="preserve"> C2.1a-TMHT)</w:t>
      </w:r>
      <w:r w:rsidRPr="006559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68D"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dung chi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C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559C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92CB8" w:rsidRPr="006559CE" w:rsidTr="003C0034">
        <w:tc>
          <w:tcPr>
            <w:tcW w:w="2972" w:type="dxa"/>
          </w:tcPr>
          <w:p w:rsidR="00F92CB8" w:rsidRPr="006559CE" w:rsidRDefault="00F92CB8" w:rsidP="006A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655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chi</w:t>
            </w:r>
          </w:p>
        </w:tc>
        <w:tc>
          <w:tcPr>
            <w:tcW w:w="6095" w:type="dxa"/>
          </w:tcPr>
          <w:p w:rsidR="00F92CB8" w:rsidRPr="006559CE" w:rsidRDefault="00F92CB8" w:rsidP="006A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b/>
                <w:sz w:val="28"/>
                <w:szCs w:val="28"/>
              </w:rPr>
              <w:t>Căn</w:t>
            </w:r>
            <w:proofErr w:type="spellEnd"/>
            <w:r w:rsidRPr="00655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sz w:val="28"/>
                <w:szCs w:val="28"/>
              </w:rPr>
              <w:t>cứ</w:t>
            </w:r>
            <w:proofErr w:type="spellEnd"/>
            <w:r w:rsidRPr="00655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</w:t>
            </w:r>
          </w:p>
        </w:tc>
      </w:tr>
      <w:tr w:rsidR="00F92CB8" w:rsidRPr="006559CE" w:rsidTr="003C0034">
        <w:tc>
          <w:tcPr>
            <w:tcW w:w="2972" w:type="dxa"/>
          </w:tcPr>
          <w:p w:rsidR="00F92CB8" w:rsidRPr="006559CE" w:rsidRDefault="00F92CB8" w:rsidP="006A72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6095" w:type="dxa"/>
          </w:tcPr>
          <w:p w:rsidR="00F92CB8" w:rsidRPr="006559CE" w:rsidRDefault="00F92CB8" w:rsidP="006A7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02/2015/TT-BLĐTBXH</w:t>
            </w:r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12/01/2015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Lao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động-Thương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binh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gói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thầu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vốn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CB8" w:rsidRPr="006559CE" w:rsidTr="003C0034">
        <w:tc>
          <w:tcPr>
            <w:tcW w:w="2972" w:type="dxa"/>
          </w:tcPr>
          <w:p w:rsidR="00F92CB8" w:rsidRPr="006559CE" w:rsidRDefault="00F92CB8" w:rsidP="006A72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</w:p>
        </w:tc>
        <w:tc>
          <w:tcPr>
            <w:tcW w:w="6095" w:type="dxa"/>
          </w:tcPr>
          <w:p w:rsidR="00F92CB8" w:rsidRPr="006559CE" w:rsidRDefault="00F92CB8" w:rsidP="006A7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40/2017/TT-BTC</w:t>
            </w:r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28/4/2017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CB8" w:rsidRPr="006559CE" w:rsidTr="003C0034">
        <w:tc>
          <w:tcPr>
            <w:tcW w:w="2972" w:type="dxa"/>
          </w:tcPr>
          <w:p w:rsidR="00F92CB8" w:rsidRPr="006559CE" w:rsidRDefault="00F92CB8" w:rsidP="006A72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tọa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095" w:type="dxa"/>
          </w:tcPr>
          <w:p w:rsidR="00F92CB8" w:rsidRPr="006559CE" w:rsidRDefault="0074368D" w:rsidP="006A7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55/2015/TTLT-BTC-BKHCN</w:t>
            </w:r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22/4/2015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2CB8" w:rsidRPr="006559CE" w:rsidRDefault="0074368D" w:rsidP="006A7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40/2017/TT-BTC</w:t>
            </w:r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28/4/2017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CB8" w:rsidRPr="006559CE" w:rsidTr="003C0034">
        <w:tc>
          <w:tcPr>
            <w:tcW w:w="2972" w:type="dxa"/>
          </w:tcPr>
          <w:p w:rsidR="00F92CB8" w:rsidRPr="006559CE" w:rsidRDefault="00F92CB8" w:rsidP="006A72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92CB8" w:rsidRPr="006559CE" w:rsidRDefault="00F92CB8" w:rsidP="006A7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109/2016/TT-BTC</w:t>
            </w:r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30/6/2016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CB8" w:rsidRPr="006559CE" w:rsidTr="003C0034">
        <w:tc>
          <w:tcPr>
            <w:tcW w:w="2972" w:type="dxa"/>
          </w:tcPr>
          <w:p w:rsidR="00F92CB8" w:rsidRPr="006559CE" w:rsidRDefault="00F92CB8" w:rsidP="006A72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sung, in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6095" w:type="dxa"/>
          </w:tcPr>
          <w:p w:rsidR="00F92CB8" w:rsidRPr="006559CE" w:rsidRDefault="00F92CB8" w:rsidP="006A7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123/2009/TT-BTC</w:t>
            </w:r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17/6/2009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dung chi,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Cao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CB8" w:rsidRPr="006559CE" w:rsidTr="003C0034">
        <w:tc>
          <w:tcPr>
            <w:tcW w:w="2972" w:type="dxa"/>
            <w:vMerge w:val="restart"/>
          </w:tcPr>
          <w:p w:rsidR="00F92CB8" w:rsidRPr="006559CE" w:rsidRDefault="00F92CB8" w:rsidP="006A72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</w:p>
          <w:p w:rsidR="00F92CB8" w:rsidRPr="006559CE" w:rsidRDefault="00F92CB8" w:rsidP="006A72E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Hỗ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trợ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đa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100%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kinh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phí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chức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đào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dành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đối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tượng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cán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bộ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công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chức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thuộc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cơ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nhà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nước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Hỗ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trợ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đa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50%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kinh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phí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chức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đào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đối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tượng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còn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lại</w:t>
            </w:r>
            <w:proofErr w:type="spellEnd"/>
            <w:r w:rsidRPr="006559CE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6095" w:type="dxa"/>
          </w:tcPr>
          <w:p w:rsidR="00F92CB8" w:rsidRPr="006559CE" w:rsidRDefault="0074368D" w:rsidP="006A7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04/2014/TTLT-BKHĐT-BTC</w:t>
            </w:r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13/08/2014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loai_1_name"/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bookmarkEnd w:id="1"/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92CB8" w:rsidRPr="006559CE" w:rsidTr="003C0034">
        <w:tc>
          <w:tcPr>
            <w:tcW w:w="2972" w:type="dxa"/>
            <w:vMerge/>
          </w:tcPr>
          <w:p w:rsidR="00F92CB8" w:rsidRPr="006559CE" w:rsidRDefault="00F92CB8" w:rsidP="006A72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92CB8" w:rsidRPr="006559CE" w:rsidRDefault="0074368D" w:rsidP="006A7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="00F92CB8"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36/2018/TT-BTC</w:t>
            </w:r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30/3/2018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proofErr w:type="gram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chức</w:t>
            </w:r>
            <w:proofErr w:type="spellEnd"/>
            <w:r w:rsidR="00F92CB8" w:rsidRPr="00655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CB8" w:rsidRPr="006559CE" w:rsidTr="003C0034">
        <w:tc>
          <w:tcPr>
            <w:tcW w:w="2972" w:type="dxa"/>
          </w:tcPr>
          <w:p w:rsidR="00F92CB8" w:rsidRPr="006559CE" w:rsidRDefault="00F92CB8" w:rsidP="006A72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Truyền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6095" w:type="dxa"/>
          </w:tcPr>
          <w:p w:rsidR="00F92CB8" w:rsidRPr="006559CE" w:rsidRDefault="00F92CB8" w:rsidP="006A7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Nghị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18/2014/NĐ-CP</w:t>
            </w:r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nhuận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2CB8" w:rsidRPr="006559CE" w:rsidRDefault="00F92CB8" w:rsidP="006A7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dung chi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CB8" w:rsidRPr="006559CE" w:rsidTr="003C0034">
        <w:tc>
          <w:tcPr>
            <w:tcW w:w="2972" w:type="dxa"/>
          </w:tcPr>
          <w:p w:rsidR="00F92CB8" w:rsidRPr="006559CE" w:rsidRDefault="00F92CB8" w:rsidP="006A72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6095" w:type="dxa"/>
          </w:tcPr>
          <w:p w:rsidR="00F92CB8" w:rsidRPr="006559CE" w:rsidRDefault="00F92CB8" w:rsidP="006A72E3">
            <w:pPr>
              <w:pStyle w:val="NormalWeb"/>
              <w:spacing w:before="90" w:beforeAutospacing="0" w:after="9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559CE">
              <w:rPr>
                <w:b/>
                <w:i/>
                <w:sz w:val="28"/>
                <w:szCs w:val="28"/>
              </w:rPr>
              <w:t>Thông</w:t>
            </w:r>
            <w:proofErr w:type="spellEnd"/>
            <w:r w:rsidRPr="006559C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b/>
                <w:i/>
                <w:sz w:val="28"/>
                <w:szCs w:val="28"/>
              </w:rPr>
              <w:t>tư</w:t>
            </w:r>
            <w:proofErr w:type="spellEnd"/>
            <w:r w:rsidRPr="006559C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6559CE">
              <w:rPr>
                <w:b/>
                <w:i/>
                <w:sz w:val="28"/>
                <w:szCs w:val="28"/>
              </w:rPr>
              <w:t xml:space="preserve"> 102/2012/TT-BTC</w:t>
            </w:r>
            <w:r w:rsidRPr="006559CE">
              <w:rPr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sz w:val="28"/>
                <w:szCs w:val="28"/>
              </w:rPr>
              <w:t>ngày</w:t>
            </w:r>
            <w:proofErr w:type="spellEnd"/>
            <w:r w:rsidRPr="006559CE">
              <w:rPr>
                <w:sz w:val="28"/>
                <w:szCs w:val="28"/>
              </w:rPr>
              <w:t xml:space="preserve"> 21/6/2012 </w:t>
            </w:r>
            <w:proofErr w:type="spellStart"/>
            <w:r w:rsidRPr="006559CE">
              <w:rPr>
                <w:sz w:val="28"/>
                <w:szCs w:val="28"/>
              </w:rPr>
              <w:t>của</w:t>
            </w:r>
            <w:proofErr w:type="spellEnd"/>
            <w:r w:rsidRPr="006559CE">
              <w:rPr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sz w:val="28"/>
                <w:szCs w:val="28"/>
              </w:rPr>
              <w:t>Bộ</w:t>
            </w:r>
            <w:proofErr w:type="spellEnd"/>
            <w:r w:rsidRPr="006559CE">
              <w:rPr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sz w:val="28"/>
                <w:szCs w:val="28"/>
              </w:rPr>
              <w:t>Tài</w:t>
            </w:r>
            <w:proofErr w:type="spellEnd"/>
            <w:r w:rsidRPr="006559CE">
              <w:rPr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sz w:val="28"/>
                <w:szCs w:val="28"/>
              </w:rPr>
              <w:t>chính</w:t>
            </w:r>
            <w:proofErr w:type="spellEnd"/>
            <w:r w:rsidRPr="006559CE">
              <w:rPr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sz w:val="28"/>
                <w:szCs w:val="28"/>
              </w:rPr>
              <w:t>quy</w:t>
            </w:r>
            <w:proofErr w:type="spellEnd"/>
            <w:r w:rsidRPr="006559CE">
              <w:rPr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sz w:val="28"/>
                <w:szCs w:val="28"/>
              </w:rPr>
              <w:t>định</w:t>
            </w:r>
            <w:proofErr w:type="spellEnd"/>
            <w:r w:rsidRPr="006559CE">
              <w:rPr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sz w:val="28"/>
                <w:szCs w:val="28"/>
              </w:rPr>
              <w:t>chế</w:t>
            </w:r>
            <w:proofErr w:type="spellEnd"/>
            <w:r w:rsidRPr="006559CE">
              <w:rPr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sz w:val="28"/>
                <w:szCs w:val="28"/>
              </w:rPr>
              <w:t>độ</w:t>
            </w:r>
            <w:proofErr w:type="spellEnd"/>
            <w:r w:rsidRPr="006559CE">
              <w:rPr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sz w:val="28"/>
                <w:szCs w:val="28"/>
              </w:rPr>
              <w:t>công</w:t>
            </w:r>
            <w:proofErr w:type="spellEnd"/>
            <w:r w:rsidRPr="006559CE">
              <w:rPr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sz w:val="28"/>
                <w:szCs w:val="28"/>
              </w:rPr>
              <w:t>tác</w:t>
            </w:r>
            <w:proofErr w:type="spellEnd"/>
            <w:r w:rsidRPr="006559CE">
              <w:rPr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sz w:val="28"/>
                <w:szCs w:val="28"/>
              </w:rPr>
              <w:t>ph</w:t>
            </w:r>
            <w:r w:rsidRPr="006559CE">
              <w:rPr>
                <w:rFonts w:eastAsiaTheme="minorHAnsi"/>
                <w:sz w:val="28"/>
                <w:szCs w:val="28"/>
              </w:rPr>
              <w:t>í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Quy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định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chế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độ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công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tác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phí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cho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cán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bộ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công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chức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Nhà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nước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đi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công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tác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ngắn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hạn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ở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nước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ngoài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do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ngân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sách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Nhà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nước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bảo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đảm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kinh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eastAsiaTheme="minorHAnsi"/>
                <w:sz w:val="28"/>
                <w:szCs w:val="28"/>
              </w:rPr>
              <w:t>phí</w:t>
            </w:r>
            <w:proofErr w:type="spellEnd"/>
            <w:r w:rsidRPr="006559CE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F92CB8" w:rsidRPr="006559CE" w:rsidTr="003C0034">
        <w:tc>
          <w:tcPr>
            <w:tcW w:w="2972" w:type="dxa"/>
          </w:tcPr>
          <w:p w:rsidR="00F92CB8" w:rsidRPr="006559CE" w:rsidRDefault="00F92CB8" w:rsidP="006A72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</w:p>
        </w:tc>
        <w:tc>
          <w:tcPr>
            <w:tcW w:w="6095" w:type="dxa"/>
          </w:tcPr>
          <w:p w:rsidR="00F92CB8" w:rsidRPr="006559CE" w:rsidRDefault="00F92CB8" w:rsidP="006A7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65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01/2010/TT-BTC</w:t>
            </w:r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6/01/2010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Nam, chi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55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92CB8" w:rsidRPr="006559CE" w:rsidRDefault="00F92CB8" w:rsidP="00F92C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06326" w:rsidRPr="006559CE" w:rsidRDefault="00206326">
      <w:pPr>
        <w:rPr>
          <w:rFonts w:ascii="Times New Roman" w:hAnsi="Times New Roman" w:cs="Times New Roman"/>
          <w:sz w:val="28"/>
          <w:szCs w:val="28"/>
        </w:rPr>
      </w:pPr>
    </w:p>
    <w:sectPr w:rsidR="00206326" w:rsidRPr="006559CE" w:rsidSect="002B29EA">
      <w:pgSz w:w="11907" w:h="16839" w:code="9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1F"/>
    <w:rsid w:val="000B3BF7"/>
    <w:rsid w:val="00206326"/>
    <w:rsid w:val="002B29EA"/>
    <w:rsid w:val="003C0034"/>
    <w:rsid w:val="006559CE"/>
    <w:rsid w:val="0074368D"/>
    <w:rsid w:val="007F3BE9"/>
    <w:rsid w:val="00F16B1F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HP</cp:lastModifiedBy>
  <cp:revision>6</cp:revision>
  <dcterms:created xsi:type="dcterms:W3CDTF">2018-08-17T10:03:00Z</dcterms:created>
  <dcterms:modified xsi:type="dcterms:W3CDTF">2018-08-18T08:31:00Z</dcterms:modified>
</cp:coreProperties>
</file>